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5E" w:rsidRPr="0078045E" w:rsidRDefault="0078045E" w:rsidP="0078045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8045E">
        <w:rPr>
          <w:b/>
          <w:bCs/>
          <w:sz w:val="28"/>
          <w:szCs w:val="28"/>
        </w:rPr>
        <w:t>На луки и арбалеты распространены ограничения и требования, предъявляемые к гражданскому охотничьему оружию</w:t>
      </w:r>
      <w:r>
        <w:rPr>
          <w:b/>
          <w:bCs/>
          <w:sz w:val="28"/>
          <w:szCs w:val="28"/>
        </w:rPr>
        <w:t>.</w:t>
      </w:r>
      <w:bookmarkStart w:id="0" w:name="_GoBack"/>
      <w:bookmarkEnd w:id="0"/>
    </w:p>
    <w:p w:rsidR="0078045E" w:rsidRPr="0078045E" w:rsidRDefault="0078045E" w:rsidP="0078045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8045E" w:rsidRDefault="0078045E" w:rsidP="007804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30.01.2020 года вступил в законную силу Федеральный закон от 02.08.2019 № 280-ФЗ «О внесении изменений в Федеральный закон "Об оружии» и статью 1 Федерального закона «Об охоте и о сохранении </w:t>
      </w:r>
      <w:proofErr w:type="gramStart"/>
      <w:r>
        <w:rPr>
          <w:sz w:val="28"/>
          <w:szCs w:val="28"/>
        </w:rPr>
        <w:t>охотничьих ресурсов</w:t>
      </w:r>
      <w:proofErr w:type="gramEnd"/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Федерации», в частности:</w:t>
      </w:r>
    </w:p>
    <w:p w:rsidR="0078045E" w:rsidRDefault="0078045E" w:rsidP="007804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гражданскому охотничьему оружию отнесено охотничье метательное стрелковое оружие, не имеющее механизмов фиксации упругих элементов в напряженном состоянии (лук) и сила дуги которого составляет более 27 кгс либо имеющее механизм фиксации упругих элементов в напряженном состоянии (арбалет) и сила дуги (дуг) которого составляет более 43 кгс;</w:t>
      </w:r>
    </w:p>
    <w:p w:rsidR="0078045E" w:rsidRDefault="0078045E" w:rsidP="007804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 запрет продажи </w:t>
      </w:r>
      <w:proofErr w:type="spellStart"/>
      <w:r>
        <w:rPr>
          <w:sz w:val="28"/>
          <w:szCs w:val="28"/>
        </w:rPr>
        <w:t>охотничьго</w:t>
      </w:r>
      <w:proofErr w:type="spellEnd"/>
      <w:r>
        <w:rPr>
          <w:sz w:val="28"/>
          <w:szCs w:val="28"/>
        </w:rPr>
        <w:t xml:space="preserve"> метательного стрелкового оружия гражданам, не представившим охотничьего билета и разрешения на хранение и ношение охотничьего оружия (общее количество приобретенного гражданином охотничьего метательного стрелкового оружия не должно превышать 5 единиц); </w:t>
      </w:r>
    </w:p>
    <w:p w:rsidR="0078045E" w:rsidRDefault="0078045E" w:rsidP="007804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предусмотрено, что приобретенное гражданином охотничье метательное стрелковое оружие подлежит регистрации в территориальном органе федерального органа исполнительной власти, уполномоченного в сфере оборота оружия (кроме того, граждане не реже одного раза в пять лет обязаны представлять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средств, психотропных веществ).</w:t>
      </w:r>
    </w:p>
    <w:p w:rsidR="0078045E" w:rsidRDefault="0078045E" w:rsidP="007804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6CF" w:rsidRDefault="000B26CF"/>
    <w:sectPr w:rsidR="000B26CF" w:rsidSect="0078045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5E"/>
    <w:rsid w:val="000B26CF"/>
    <w:rsid w:val="006932CA"/>
    <w:rsid w:val="0078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84A25-408F-4A56-A7ED-C22CDC7F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2019-08-19T03:34:00Z</dcterms:created>
  <dcterms:modified xsi:type="dcterms:W3CDTF">2019-08-19T03:35:00Z</dcterms:modified>
</cp:coreProperties>
</file>